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4"/>
          <w:szCs w:val="44"/>
        </w:rPr>
      </w:pPr>
      <w:r>
        <w:rPr>
          <w:rFonts w:hint="eastAsia" w:ascii="微软雅黑" w:hAnsi="微软雅黑" w:eastAsia="微软雅黑" w:cs="微软雅黑"/>
          <w:i w:val="0"/>
          <w:iCs w:val="0"/>
          <w:caps w:val="0"/>
          <w:color w:val="4B4B4B"/>
          <w:spacing w:val="0"/>
          <w:sz w:val="44"/>
          <w:szCs w:val="44"/>
          <w:shd w:val="clear" w:fill="FFFFFF"/>
        </w:rPr>
        <w:t>教育部关于一流本科课程建设的实施意见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right"/>
        <w:rPr>
          <w:rFonts w:hint="eastAsia" w:ascii="微软雅黑" w:hAnsi="微软雅黑" w:eastAsia="微软雅黑" w:cs="微软雅黑"/>
          <w:i w:val="0"/>
          <w:iCs w:val="0"/>
          <w:caps w:val="0"/>
          <w:color w:val="4B4B4B"/>
          <w:spacing w:val="0"/>
          <w:sz w:val="28"/>
          <w:szCs w:val="28"/>
        </w:rPr>
      </w:pPr>
      <w:bookmarkStart w:id="0" w:name="_GoBack"/>
      <w:r>
        <w:rPr>
          <w:rFonts w:hint="eastAsia" w:ascii="微软雅黑" w:hAnsi="微软雅黑" w:eastAsia="微软雅黑" w:cs="微软雅黑"/>
          <w:i w:val="0"/>
          <w:iCs w:val="0"/>
          <w:caps w:val="0"/>
          <w:color w:val="4B4B4B"/>
          <w:spacing w:val="0"/>
          <w:sz w:val="28"/>
          <w:szCs w:val="28"/>
          <w:shd w:val="clear" w:fill="FFFFFF"/>
        </w:rPr>
        <w:t>教高〔2019〕8号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实到课程建设上。现就一流本科课程建设提出如下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w:t>
      </w:r>
      <w:r>
        <w:rPr>
          <w:rFonts w:hint="eastAsia" w:ascii="微软雅黑" w:hAnsi="微软雅黑" w:eastAsia="微软雅黑" w:cs="微软雅黑"/>
          <w:b/>
          <w:bCs/>
          <w:i w:val="0"/>
          <w:iCs w:val="0"/>
          <w:caps w:val="0"/>
          <w:color w:val="4B4B4B"/>
          <w:spacing w:val="0"/>
          <w:sz w:val="28"/>
          <w:szCs w:val="28"/>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以习近平新时代中国特色社会主义思想为指导，贯彻落实党的十九大精神，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（二）总体目标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（三）基本原则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——坚持分类建设。依据高校办学定位和人才培养目标定位，建设适应创新型、复合型、应用型人才培养需要的一流本科课程，实现不同类型高校一流本科课程建设全覆盖。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坚持扶强扶特。着力引导“双一流”建设高校、部省合建高校发挥引领示范作用，重点打造一批高水平课程，为卓越拔尖人才培养提供有力支撑。重点支持已有建设基础、取得明显教学成效的课程，让优的更优、强的更强。重视特色课程建设，实现一流本科课程多样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提升高阶性。课程目标坚持知识、能力、素质有机融合，培养学生解决复杂问题的综合能力和高级思维。课程内容强调广度和深度，突破习惯性认知模式，培养学生深度分析、大胆质疑、勇于创新的精神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——突出创新性。教学内容体现前沿性与时代性，及时将学术研究、科技发展前沿成果引入课程。教学方法体现先进性与互动性，大力推进现代信息技术与教学深度融合，积极引导学生进行探究式与个性化学习。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增加挑战度。课程设计增加研究性、创新性、综合性内容，加大学生学习投入，科学“增负”，让学生体验“跳一跳才能够得着”的学习挑战。严格考核考试评价，增强学生经过刻苦学习收获能力和素质提高的成就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w:t>
      </w:r>
      <w:r>
        <w:rPr>
          <w:rFonts w:hint="eastAsia" w:ascii="微软雅黑" w:hAnsi="微软雅黑" w:eastAsia="微软雅黑" w:cs="微软雅黑"/>
          <w:b/>
          <w:bCs/>
          <w:i w:val="0"/>
          <w:iCs w:val="0"/>
          <w:caps w:val="0"/>
          <w:color w:val="4B4B4B"/>
          <w:spacing w:val="0"/>
          <w:sz w:val="28"/>
          <w:szCs w:val="28"/>
          <w:shd w:val="clear" w:fill="FFFFFF"/>
        </w:rPr>
        <w:t>二、建设内容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盖，推动教师培训常态化，将培训学分作为教师资格定期注册、教师考核的必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四）改革方法，课堂活起来。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七）政策激励，教学热起来。以教学贡献为核心内容制定激励政策。加大课程建设的支持力度，加大优秀课程和教师的奖励力度，加大教学业绩在专业技术职务评聘中的权重，营造重视本科课程改革与建设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w:t>
      </w:r>
      <w:r>
        <w:rPr>
          <w:rFonts w:hint="eastAsia" w:ascii="微软雅黑" w:hAnsi="微软雅黑" w:eastAsia="微软雅黑" w:cs="微软雅黑"/>
          <w:b/>
          <w:bCs/>
          <w:i w:val="0"/>
          <w:iCs w:val="0"/>
          <w:caps w:val="0"/>
          <w:color w:val="4B4B4B"/>
          <w:spacing w:val="0"/>
          <w:sz w:val="28"/>
          <w:szCs w:val="28"/>
          <w:shd w:val="clear" w:fill="FFFFFF"/>
        </w:rPr>
        <w:t>三、实施一流本科课程双万计划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因校制宜、因课制宜建设省级一流本科课程，并报我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w:t>
      </w:r>
      <w:r>
        <w:rPr>
          <w:rFonts w:hint="eastAsia" w:ascii="微软雅黑" w:hAnsi="微软雅黑" w:eastAsia="微软雅黑" w:cs="微软雅黑"/>
          <w:b/>
          <w:bCs/>
          <w:i w:val="0"/>
          <w:iCs w:val="0"/>
          <w:caps w:val="0"/>
          <w:color w:val="4B4B4B"/>
          <w:spacing w:val="0"/>
          <w:sz w:val="28"/>
          <w:szCs w:val="28"/>
          <w:shd w:val="clear" w:fill="FFFFFF"/>
        </w:rPr>
        <w:t>四、组织管理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（一）教育部负责统筹指导一流本科课程建设工作，组织有关专家和机构研究制定一流本科课程建设、应用与管理的相关标准规范。公布国家级一流本科课程推荐认定结果。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二）省级教育行政部门研究制定省级一流本科课程建设实施方案，制定推动本地区一流本科课程建设与教学改革配套政策，建设省级一流本科课程。加强省级课程服务平台的管理，积极推动一流本科课程开放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（四）高等学校教学指导委员会要加强课程建设理论研究和分类指导，组织制订相关专业一流本科课程建设指南，引导高校汇聚优秀教师联合建设课程群，共享优质课程资源。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（五）课程服务平台承担一流本科课程服务和数据安全保障的主体责任，配合开展课程审查和线上教学活动。要不断更新并提升技术和数据服务水平，监控和打击不良学习行为。加强课程平台间的交流与合作。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（六）中央部门所属高校统筹利用“中央高校教育教学改革专项”等各类资源支持一流本科课程建设。地方高校统筹地方财政高等教育资金和中央支持地方高校改革发展资金支持一流本科课程建设。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附件：“双万计划”国家级一流本科课程推荐认定办法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2019年10月24日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b/>
          <w:bCs/>
          <w:i w:val="0"/>
          <w:iCs w:val="0"/>
          <w:caps w:val="0"/>
          <w:color w:val="4B4B4B"/>
          <w:spacing w:val="0"/>
          <w:sz w:val="28"/>
          <w:szCs w:val="28"/>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b/>
          <w:bCs/>
          <w:i w:val="0"/>
          <w:iCs w:val="0"/>
          <w:caps w:val="0"/>
          <w:color w:val="4B4B4B"/>
          <w:spacing w:val="0"/>
          <w:sz w:val="28"/>
          <w:szCs w:val="28"/>
          <w:shd w:val="clear" w:fill="FFFFFF"/>
        </w:rPr>
        <w:t>“双万计划”国家级一流本科课程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b/>
          <w:bCs/>
          <w:i w:val="0"/>
          <w:iCs w:val="0"/>
          <w:caps w:val="0"/>
          <w:color w:val="4B4B4B"/>
          <w:spacing w:val="0"/>
          <w:sz w:val="28"/>
          <w:szCs w:val="28"/>
          <w:shd w:val="clear" w:fill="FFFFFF"/>
        </w:rPr>
        <w:t>推荐认定办法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w:t>
      </w:r>
      <w:r>
        <w:rPr>
          <w:rFonts w:hint="eastAsia" w:ascii="微软雅黑" w:hAnsi="微软雅黑" w:eastAsia="微软雅黑" w:cs="微软雅黑"/>
          <w:b/>
          <w:bCs/>
          <w:i w:val="0"/>
          <w:iCs w:val="0"/>
          <w:caps w:val="0"/>
          <w:color w:val="4B4B4B"/>
          <w:spacing w:val="0"/>
          <w:sz w:val="28"/>
          <w:szCs w:val="28"/>
          <w:shd w:val="clear" w:fill="FFFFFF"/>
        </w:rPr>
        <w:t>一、推荐范围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普通本科高校纳入人才培养方案且设置学分的本科课程均可推荐，包括思想政治理论课、公共基础课、专业基础课、专业课以及通识课等独立设置的本科理论课程、实验课程和社会实践课程等。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w:t>
      </w:r>
      <w:r>
        <w:rPr>
          <w:rFonts w:hint="eastAsia" w:ascii="微软雅黑" w:hAnsi="微软雅黑" w:eastAsia="微软雅黑" w:cs="微软雅黑"/>
          <w:b/>
          <w:bCs/>
          <w:i w:val="0"/>
          <w:iCs w:val="0"/>
          <w:caps w:val="0"/>
          <w:color w:val="4B4B4B"/>
          <w:spacing w:val="0"/>
          <w:sz w:val="28"/>
          <w:szCs w:val="28"/>
          <w:shd w:val="clear" w:fill="FFFFFF"/>
        </w:rPr>
        <w:t>二、推荐类型与计划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一）线上一流课程。即国家精品在线开放课程，突出优质、开放、共享，打造中国慕课品牌。完成4000门左右国家精品在线开放课程认定，构建内容更加丰富、结构更加合理、类别更加全面的国家级精品慕课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w:t>
      </w:r>
      <w:r>
        <w:rPr>
          <w:rFonts w:hint="eastAsia" w:ascii="微软雅黑" w:hAnsi="微软雅黑" w:eastAsia="微软雅黑" w:cs="微软雅黑"/>
          <w:b/>
          <w:bCs/>
          <w:i w:val="0"/>
          <w:iCs w:val="0"/>
          <w:caps w:val="0"/>
          <w:color w:val="4B4B4B"/>
          <w:spacing w:val="0"/>
          <w:sz w:val="28"/>
          <w:szCs w:val="28"/>
          <w:shd w:val="clear" w:fill="FFFFFF"/>
        </w:rPr>
        <w:t>三、推荐条件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（一）教学理念先进。坚持立德树人，体现以学生发展为中心，致力于开启学生内在潜力和学习动力，注重学生德智体美劳全面发展。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（三）课程目标有效支撑培养目标达成。课程目标符合学校办学定位和人才培养目标，注重知识、能力、素质培养。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（四）课程教学设计科学合理。围绕目标达成、教学内容、组织实施和多元评价需求进行整体规划，教学策略、教学方法、教学过程、教学评价等设计合理。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（六）教学组织与实施突出学生中心地位。根据学生认知规律和接受特点，创新教与学模式，因材施教，促进师生之间、学生之间的交流互动、资源共享、知识生成，教学反馈及时，教学效果显著。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（七）课程管理与评价科学且可测量。教师备课要求明确，学生学习管理严格。针对教学目标、教学内容、教学组织等采用多元化考核评价，过程可回溯，诊断改进积极有效。教学过程材料完整，可借鉴可监督。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w:t>
      </w:r>
      <w:r>
        <w:rPr>
          <w:rFonts w:hint="eastAsia" w:ascii="微软雅黑" w:hAnsi="微软雅黑" w:eastAsia="微软雅黑" w:cs="微软雅黑"/>
          <w:b/>
          <w:bCs/>
          <w:i w:val="0"/>
          <w:iCs w:val="0"/>
          <w:caps w:val="0"/>
          <w:color w:val="4B4B4B"/>
          <w:spacing w:val="0"/>
          <w:sz w:val="28"/>
          <w:szCs w:val="28"/>
          <w:shd w:val="clear" w:fill="FFFFFF"/>
        </w:rPr>
        <w:t>四、推荐方式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除线上一流课程、虚拟仿真实验教学一流课程继续按有关文件实施外，线下一流课程、线上线下混合式一流课程和社会实践一流课程采用以下推荐方式。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（一）推荐总额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教育部按照国家级线下一流课程、线上线下混合式一流课程和社会实践一流课程三年计划总数确定推荐总额，分别下达至中央部门所属高校和各省级教育行政部门。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（二）分赛道推荐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按照中央部门所属高校、地方高校的办学定位和培养目标特点分赛道推荐，名额分列。部省合建高校推荐课程纳入中央部门所属高校赛道。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（三）推荐方式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（四）推荐材料要求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课程团队须提交申报书、时长10分钟内的说课视频（包括教学理念、课程设计、课程实施、改革成效等）和其他佐证材料。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w:t>
      </w:r>
      <w:r>
        <w:rPr>
          <w:rFonts w:hint="eastAsia" w:ascii="微软雅黑" w:hAnsi="微软雅黑" w:eastAsia="微软雅黑" w:cs="微软雅黑"/>
          <w:b/>
          <w:bCs/>
          <w:i w:val="0"/>
          <w:iCs w:val="0"/>
          <w:caps w:val="0"/>
          <w:color w:val="4B4B4B"/>
          <w:spacing w:val="0"/>
          <w:sz w:val="28"/>
          <w:szCs w:val="28"/>
          <w:shd w:val="clear" w:fill="FFFFFF"/>
        </w:rPr>
        <w:t>五、认定方式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教育部分年度组织专家对推荐课程进行认定，经公示后向社会发布。对课程团队成员存在师德师风问题、学术不端问题、五年内出现过重大教学事故，课程内容存在思想性科学性问题的，实行一票否决。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w:t>
      </w:r>
      <w:r>
        <w:rPr>
          <w:rFonts w:hint="eastAsia" w:ascii="微软雅黑" w:hAnsi="微软雅黑" w:eastAsia="微软雅黑" w:cs="微软雅黑"/>
          <w:b/>
          <w:bCs/>
          <w:i w:val="0"/>
          <w:iCs w:val="0"/>
          <w:caps w:val="0"/>
          <w:color w:val="4B4B4B"/>
          <w:spacing w:val="0"/>
          <w:sz w:val="28"/>
          <w:szCs w:val="28"/>
          <w:shd w:val="clear" w:fill="FFFFFF"/>
        </w:rPr>
        <w:t>六、认定课程管理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shd w:val="clear" w:fill="FFFFFF"/>
        </w:rPr>
        <w:t>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pPr>
        <w:rPr>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Y2FiNzM3MzgzOTg3MjU5NmMzM2MzMWMyODU1Y2QifQ=="/>
  </w:docVars>
  <w:rsids>
    <w:rsidRoot w:val="00000000"/>
    <w:rsid w:val="2A707A19"/>
    <w:rsid w:val="7D74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2023-10-25T01:42:00Z</dcterms:created>
  <dc:creator>王</dc:creator>
  <cp:lastModifiedBy>烨烨</cp:lastModifiedBy>
  <dcterms:modified xsi:type="dcterms:W3CDTF">2023-10-25T02:19:02Z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4F14E37590A94BE3B98F3B18FDFDA67D_12</vt:lpwstr>
  </property>
</Properties>
</file>